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8F" w:rsidRPr="008E3362" w:rsidRDefault="00493273" w:rsidP="00A42BD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E3362">
        <w:rPr>
          <w:rFonts w:asciiTheme="majorHAnsi" w:hAnsiTheme="majorHAnsi" w:cs="Times New Roman"/>
          <w:b/>
          <w:sz w:val="24"/>
          <w:szCs w:val="24"/>
        </w:rPr>
        <w:t>12</w:t>
      </w:r>
      <w:r w:rsidR="00A42BD8" w:rsidRPr="008E3362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A42BD8" w:rsidRPr="008E3362">
        <w:rPr>
          <w:rFonts w:asciiTheme="majorHAnsi" w:hAnsiTheme="majorHAnsi" w:cs="Times New Roman"/>
          <w:b/>
          <w:sz w:val="24"/>
          <w:szCs w:val="24"/>
        </w:rPr>
        <w:t xml:space="preserve"> European Biosimilars Congress</w:t>
      </w:r>
    </w:p>
    <w:p w:rsidR="00F525EC" w:rsidRPr="008E3362" w:rsidRDefault="00F525EC" w:rsidP="00F525EC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8E3362">
        <w:rPr>
          <w:rFonts w:asciiTheme="majorHAnsi" w:hAnsiTheme="majorHAnsi" w:cs="Times New Roman"/>
          <w:i/>
          <w:sz w:val="24"/>
          <w:szCs w:val="24"/>
        </w:rPr>
        <w:t xml:space="preserve">Theme: </w:t>
      </w:r>
      <w:r w:rsidR="00A42BD8" w:rsidRPr="008E3362">
        <w:rPr>
          <w:rFonts w:asciiTheme="majorHAnsi" w:hAnsiTheme="majorHAnsi" w:cs="Times New Roman"/>
          <w:i/>
          <w:sz w:val="24"/>
          <w:szCs w:val="24"/>
        </w:rPr>
        <w:t>The Developmental Strategies and Uptake of Biosimilars through a Decade in Europe</w:t>
      </w:r>
    </w:p>
    <w:p w:rsidR="00F525EC" w:rsidRPr="008E3362" w:rsidRDefault="00A44A8D" w:rsidP="00F525E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hyperlink r:id="rId6" w:history="1">
        <w:r w:rsidR="002E5DC9" w:rsidRPr="008E3362">
          <w:rPr>
            <w:rStyle w:val="Hyperlink"/>
            <w:rFonts w:asciiTheme="majorHAnsi" w:hAnsiTheme="majorHAnsi" w:cs="Times New Roman"/>
            <w:b/>
            <w:sz w:val="24"/>
            <w:szCs w:val="24"/>
          </w:rPr>
          <w:t>Home</w:t>
        </w:r>
      </w:hyperlink>
      <w:r w:rsidR="002E5DC9" w:rsidRPr="008E3362">
        <w:rPr>
          <w:rFonts w:asciiTheme="majorHAnsi" w:hAnsiTheme="majorHAnsi" w:cs="Times New Roman"/>
          <w:b/>
          <w:sz w:val="24"/>
          <w:szCs w:val="24"/>
        </w:rPr>
        <w:t xml:space="preserve"> | </w:t>
      </w:r>
      <w:hyperlink r:id="rId7" w:history="1">
        <w:r w:rsidR="00F525EC" w:rsidRPr="008E3362">
          <w:rPr>
            <w:rStyle w:val="Hyperlink"/>
            <w:rFonts w:asciiTheme="majorHAnsi" w:hAnsiTheme="majorHAnsi" w:cs="Times New Roman"/>
            <w:b/>
            <w:sz w:val="24"/>
            <w:szCs w:val="24"/>
          </w:rPr>
          <w:t>Conference Brochure</w:t>
        </w:r>
      </w:hyperlink>
      <w:r w:rsidR="00F525EC" w:rsidRPr="008E3362">
        <w:rPr>
          <w:rFonts w:asciiTheme="majorHAnsi" w:hAnsiTheme="majorHAnsi" w:cs="Times New Roman"/>
          <w:b/>
          <w:color w:val="000025"/>
          <w:sz w:val="24"/>
          <w:szCs w:val="24"/>
        </w:rPr>
        <w:t xml:space="preserve"> | </w:t>
      </w:r>
      <w:hyperlink r:id="rId8" w:history="1">
        <w:r w:rsidR="00F525EC" w:rsidRPr="008E3362">
          <w:rPr>
            <w:rStyle w:val="Hyperlink"/>
            <w:rFonts w:asciiTheme="majorHAnsi" w:hAnsiTheme="majorHAnsi" w:cs="Times New Roman"/>
            <w:b/>
            <w:sz w:val="24"/>
            <w:szCs w:val="24"/>
          </w:rPr>
          <w:t>Submit Abstract</w:t>
        </w:r>
      </w:hyperlink>
      <w:r w:rsidR="00F525EC" w:rsidRPr="008E3362">
        <w:rPr>
          <w:rStyle w:val="Strong"/>
          <w:rFonts w:asciiTheme="majorHAnsi" w:hAnsiTheme="majorHAnsi" w:cs="Times New Roman"/>
          <w:b w:val="0"/>
          <w:color w:val="0000FF"/>
          <w:sz w:val="24"/>
          <w:szCs w:val="24"/>
        </w:rPr>
        <w:t xml:space="preserve"> </w:t>
      </w:r>
      <w:r w:rsidR="00F525EC" w:rsidRPr="008E3362">
        <w:rPr>
          <w:rFonts w:asciiTheme="majorHAnsi" w:hAnsiTheme="majorHAnsi" w:cs="Times New Roman"/>
          <w:b/>
          <w:color w:val="000025"/>
          <w:sz w:val="24"/>
          <w:szCs w:val="24"/>
        </w:rPr>
        <w:t xml:space="preserve">| </w:t>
      </w:r>
      <w:hyperlink r:id="rId9" w:history="1">
        <w:r w:rsidR="00F525EC" w:rsidRPr="008E3362">
          <w:rPr>
            <w:rStyle w:val="Hyperlink"/>
            <w:rFonts w:asciiTheme="majorHAnsi" w:hAnsiTheme="majorHAnsi" w:cs="Times New Roman"/>
            <w:b/>
            <w:sz w:val="24"/>
            <w:szCs w:val="24"/>
          </w:rPr>
          <w:t>Scientific Sessions</w:t>
        </w:r>
      </w:hyperlink>
    </w:p>
    <w:p w:rsidR="00F525EC" w:rsidRPr="008E3362" w:rsidRDefault="00F525EC" w:rsidP="00F525EC">
      <w:pPr>
        <w:jc w:val="both"/>
        <w:rPr>
          <w:rFonts w:asciiTheme="majorHAnsi" w:hAnsiTheme="majorHAnsi" w:cs="Times New Roman"/>
          <w:sz w:val="24"/>
          <w:szCs w:val="24"/>
          <w:highlight w:val="red"/>
        </w:rPr>
      </w:pPr>
    </w:p>
    <w:p w:rsidR="00F64B06" w:rsidRPr="008E3362" w:rsidRDefault="00F525EC" w:rsidP="00A44A8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3362">
        <w:rPr>
          <w:rFonts w:asciiTheme="majorHAnsi" w:hAnsiTheme="majorHAnsi" w:cs="Times New Roman"/>
          <w:sz w:val="24"/>
          <w:szCs w:val="24"/>
        </w:rPr>
        <w:t>Conference series takes pleasure in inviting the scientific community</w:t>
      </w:r>
      <w:r w:rsidR="00A42BD8" w:rsidRPr="008E3362">
        <w:rPr>
          <w:rFonts w:asciiTheme="majorHAnsi" w:hAnsiTheme="majorHAnsi" w:cs="Times New Roman"/>
          <w:sz w:val="24"/>
          <w:szCs w:val="24"/>
        </w:rPr>
        <w:t xml:space="preserve"> a</w:t>
      </w:r>
      <w:r w:rsidR="00100C20" w:rsidRPr="008E3362">
        <w:rPr>
          <w:rFonts w:asciiTheme="majorHAnsi" w:hAnsiTheme="majorHAnsi" w:cs="Times New Roman"/>
          <w:sz w:val="24"/>
          <w:szCs w:val="24"/>
        </w:rPr>
        <w:t>cross the globe to attend the 12</w:t>
      </w:r>
      <w:r w:rsidR="00A42BD8" w:rsidRPr="008E3362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A42BD8" w:rsidRPr="008E3362">
        <w:rPr>
          <w:rFonts w:asciiTheme="majorHAnsi" w:hAnsiTheme="majorHAnsi" w:cs="Times New Roman"/>
          <w:sz w:val="24"/>
          <w:szCs w:val="24"/>
        </w:rPr>
        <w:t xml:space="preserve"> European </w:t>
      </w:r>
      <w:hyperlink r:id="rId10" w:history="1">
        <w:r w:rsidR="00A42BD8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Biosimilars</w:t>
        </w:r>
      </w:hyperlink>
      <w:r w:rsidR="00A42BD8" w:rsidRPr="008E3362">
        <w:rPr>
          <w:rFonts w:asciiTheme="majorHAnsi" w:hAnsiTheme="majorHAnsi" w:cs="Times New Roman"/>
          <w:sz w:val="24"/>
          <w:szCs w:val="24"/>
        </w:rPr>
        <w:t xml:space="preserve"> Congress</w:t>
      </w:r>
      <w:r w:rsidR="00A42BD8" w:rsidRPr="008E336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1338F" w:rsidRPr="008E3362">
        <w:rPr>
          <w:rFonts w:asciiTheme="majorHAnsi" w:hAnsiTheme="majorHAnsi" w:cs="Times New Roman"/>
          <w:sz w:val="24"/>
          <w:szCs w:val="24"/>
        </w:rPr>
        <w:t xml:space="preserve">during </w:t>
      </w:r>
      <w:r w:rsidR="00100C20" w:rsidRPr="008E3362">
        <w:rPr>
          <w:rFonts w:asciiTheme="majorHAnsi" w:hAnsiTheme="majorHAnsi" w:cs="Times New Roman"/>
          <w:b/>
          <w:sz w:val="24"/>
          <w:szCs w:val="24"/>
        </w:rPr>
        <w:t>April 15-16, 2019</w:t>
      </w:r>
      <w:r w:rsidR="00A42BD8" w:rsidRPr="008E336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42BD8" w:rsidRPr="008E3362">
        <w:rPr>
          <w:rFonts w:asciiTheme="majorHAnsi" w:hAnsiTheme="majorHAnsi" w:cs="Times New Roman"/>
          <w:sz w:val="24"/>
          <w:szCs w:val="24"/>
        </w:rPr>
        <w:t>at</w:t>
      </w:r>
      <w:r w:rsidR="00A42BD8" w:rsidRPr="008E336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00C20" w:rsidRPr="008E3362">
        <w:rPr>
          <w:rFonts w:asciiTheme="majorHAnsi" w:hAnsiTheme="majorHAnsi" w:cs="Times New Roman"/>
          <w:b/>
          <w:sz w:val="24"/>
          <w:szCs w:val="24"/>
        </w:rPr>
        <w:t>Berlin</w:t>
      </w:r>
      <w:r w:rsidR="00A42BD8" w:rsidRPr="008E3362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100C20" w:rsidRPr="008E3362">
        <w:rPr>
          <w:rFonts w:asciiTheme="majorHAnsi" w:hAnsiTheme="majorHAnsi" w:cs="Times New Roman"/>
          <w:b/>
          <w:sz w:val="24"/>
          <w:szCs w:val="24"/>
        </w:rPr>
        <w:t>Germany</w:t>
      </w:r>
      <w:r w:rsidR="0041338F" w:rsidRPr="008E3362">
        <w:rPr>
          <w:rFonts w:asciiTheme="majorHAnsi" w:hAnsiTheme="majorHAnsi" w:cs="Times New Roman"/>
          <w:sz w:val="24"/>
          <w:szCs w:val="24"/>
        </w:rPr>
        <w:t xml:space="preserve"> </w:t>
      </w:r>
      <w:r w:rsidRPr="008E3362">
        <w:rPr>
          <w:rFonts w:asciiTheme="majorHAnsi" w:hAnsiTheme="majorHAnsi" w:cs="Times New Roman"/>
          <w:sz w:val="24"/>
          <w:szCs w:val="24"/>
        </w:rPr>
        <w:t xml:space="preserve">with a motto to Explore Innovations in </w:t>
      </w:r>
      <w:r w:rsidR="00A42BD8" w:rsidRPr="008E3362">
        <w:rPr>
          <w:rFonts w:asciiTheme="majorHAnsi" w:hAnsiTheme="majorHAnsi" w:cs="Times New Roman"/>
          <w:sz w:val="24"/>
          <w:szCs w:val="24"/>
        </w:rPr>
        <w:t>Biosimilars &amp; Biologics</w:t>
      </w:r>
      <w:r w:rsidR="000260D4" w:rsidRPr="008E3362">
        <w:rPr>
          <w:rFonts w:asciiTheme="majorHAnsi" w:hAnsiTheme="majorHAnsi" w:cs="Times New Roman"/>
          <w:sz w:val="24"/>
          <w:szCs w:val="24"/>
        </w:rPr>
        <w:t>.</w:t>
      </w:r>
      <w:r w:rsidR="00A42BD8" w:rsidRPr="008E336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42BD8" w:rsidRPr="008E3362">
        <w:rPr>
          <w:rFonts w:asciiTheme="majorHAnsi" w:hAnsiTheme="majorHAnsi" w:cs="Times New Roman"/>
          <w:sz w:val="24"/>
          <w:szCs w:val="24"/>
        </w:rPr>
        <w:t>This Eu</w:t>
      </w:r>
      <w:r w:rsidR="00100C20" w:rsidRPr="008E3362">
        <w:rPr>
          <w:rFonts w:asciiTheme="majorHAnsi" w:hAnsiTheme="majorHAnsi" w:cs="Times New Roman"/>
          <w:sz w:val="24"/>
          <w:szCs w:val="24"/>
        </w:rPr>
        <w:t>ropean Biosimilars Congress 2019</w:t>
      </w:r>
      <w:r w:rsidR="00A42BD8" w:rsidRPr="008E3362">
        <w:rPr>
          <w:rFonts w:asciiTheme="majorHAnsi" w:hAnsiTheme="majorHAnsi" w:cs="Times New Roman"/>
          <w:sz w:val="24"/>
          <w:szCs w:val="24"/>
        </w:rPr>
        <w:t xml:space="preserve"> will bring together Professors, scientists, researchers, business development managers, CEOs, directors, IP Attorneys, Regulatory Officials, CROs and students from ar</w:t>
      </w:r>
      <w:bookmarkStart w:id="0" w:name="_GoBack"/>
      <w:bookmarkEnd w:id="0"/>
      <w:r w:rsidR="00A42BD8" w:rsidRPr="008E3362">
        <w:rPr>
          <w:rFonts w:asciiTheme="majorHAnsi" w:hAnsiTheme="majorHAnsi" w:cs="Times New Roman"/>
          <w:sz w:val="24"/>
          <w:szCs w:val="24"/>
        </w:rPr>
        <w:t>ound the world</w:t>
      </w:r>
      <w:r w:rsidRPr="008E3362">
        <w:rPr>
          <w:rFonts w:asciiTheme="majorHAnsi" w:hAnsiTheme="majorHAnsi" w:cs="Times New Roman"/>
          <w:sz w:val="24"/>
          <w:szCs w:val="24"/>
        </w:rPr>
        <w:t xml:space="preserve">. </w:t>
      </w:r>
      <w:r w:rsidR="00A42BD8" w:rsidRPr="008E3362">
        <w:rPr>
          <w:rFonts w:asciiTheme="majorHAnsi" w:hAnsiTheme="majorHAnsi" w:cs="Times New Roman"/>
          <w:sz w:val="24"/>
          <w:szCs w:val="24"/>
        </w:rPr>
        <w:t>The passage of biosimilars through a decade at Europe finds much requirement for discussion also focussing the latest developments in the fi</w:t>
      </w:r>
      <w:r w:rsidR="00F64B06" w:rsidRPr="008E3362">
        <w:rPr>
          <w:rFonts w:asciiTheme="majorHAnsi" w:hAnsiTheme="majorHAnsi" w:cs="Times New Roman"/>
          <w:sz w:val="24"/>
          <w:szCs w:val="24"/>
        </w:rPr>
        <w:t>eld of biologics and biosimilars.</w:t>
      </w:r>
    </w:p>
    <w:p w:rsidR="00F64B06" w:rsidRPr="008E3362" w:rsidRDefault="00F64B06" w:rsidP="00A44A8D">
      <w:pPr>
        <w:pStyle w:val="NormalWeb"/>
        <w:shd w:val="clear" w:color="auto" w:fill="FFFFFF"/>
        <w:spacing w:after="0"/>
        <w:jc w:val="both"/>
        <w:rPr>
          <w:rFonts w:asciiTheme="majorHAnsi" w:hAnsiTheme="majorHAnsi"/>
        </w:rPr>
      </w:pPr>
    </w:p>
    <w:p w:rsidR="00ED4822" w:rsidRPr="008E3362" w:rsidRDefault="00A44A8D" w:rsidP="00A44A8D">
      <w:pPr>
        <w:pStyle w:val="NormalWeb"/>
        <w:shd w:val="clear" w:color="auto" w:fill="FFFFFF"/>
        <w:spacing w:after="0"/>
        <w:jc w:val="both"/>
        <w:rPr>
          <w:rStyle w:val="Hyperlink"/>
          <w:rFonts w:asciiTheme="majorHAnsi" w:hAnsiTheme="majorHAnsi"/>
        </w:rPr>
      </w:pPr>
      <w:hyperlink r:id="rId11" w:history="1">
        <w:r w:rsidR="00ED4822" w:rsidRPr="008E3362">
          <w:rPr>
            <w:rStyle w:val="Hyperlink"/>
            <w:rFonts w:asciiTheme="majorHAnsi" w:hAnsiTheme="majorHAnsi"/>
          </w:rPr>
          <w:t>Previous Speakers:</w:t>
        </w:r>
      </w:hyperlink>
    </w:p>
    <w:p w:rsidR="00F64B06" w:rsidRPr="008E3362" w:rsidRDefault="00F64B06" w:rsidP="00A44A8D">
      <w:pPr>
        <w:pStyle w:val="NormalWeb"/>
        <w:shd w:val="clear" w:color="auto" w:fill="FFFFFF"/>
        <w:spacing w:after="0"/>
        <w:jc w:val="both"/>
        <w:rPr>
          <w:rFonts w:asciiTheme="majorHAnsi" w:hAnsiTheme="majorHAnsi"/>
        </w:rPr>
      </w:pPr>
    </w:p>
    <w:p w:rsidR="00100C20" w:rsidRPr="008E3362" w:rsidRDefault="00100C20" w:rsidP="00A44A8D">
      <w:pPr>
        <w:pStyle w:val="NormalWeb"/>
        <w:shd w:val="clear" w:color="auto" w:fill="FFFFFF"/>
        <w:spacing w:after="0"/>
        <w:jc w:val="both"/>
        <w:rPr>
          <w:rFonts w:asciiTheme="majorHAnsi" w:hAnsiTheme="majorHAnsi"/>
          <w:b/>
        </w:rPr>
      </w:pPr>
      <w:hyperlink r:id="rId12" w:history="1">
        <w:r w:rsidR="00FB78CB" w:rsidRPr="008E3362">
          <w:rPr>
            <w:rStyle w:val="Hyperlink"/>
            <w:rFonts w:asciiTheme="majorHAnsi" w:hAnsiTheme="majorHAnsi"/>
            <w:b/>
          </w:rPr>
          <w:t>Kamali Chance</w:t>
        </w:r>
      </w:hyperlink>
      <w:r w:rsidR="00FB78CB" w:rsidRPr="008E3362">
        <w:rPr>
          <w:rFonts w:asciiTheme="majorHAnsi" w:hAnsiTheme="majorHAnsi"/>
          <w:b/>
        </w:rPr>
        <w:t xml:space="preserve">, </w:t>
      </w:r>
      <w:proofErr w:type="spellStart"/>
      <w:r w:rsidRPr="008E3362">
        <w:rPr>
          <w:rFonts w:asciiTheme="majorHAnsi" w:hAnsiTheme="majorHAnsi"/>
        </w:rPr>
        <w:t>BioSciencesCorp</w:t>
      </w:r>
      <w:proofErr w:type="spellEnd"/>
      <w:r w:rsidRPr="008E3362">
        <w:rPr>
          <w:rFonts w:asciiTheme="majorHAnsi" w:hAnsiTheme="majorHAnsi"/>
        </w:rPr>
        <w:t xml:space="preserve">, </w:t>
      </w:r>
      <w:r w:rsidR="00FB78CB" w:rsidRPr="008E3362">
        <w:rPr>
          <w:rFonts w:asciiTheme="majorHAnsi" w:hAnsiTheme="majorHAnsi"/>
        </w:rPr>
        <w:t>USA</w:t>
      </w:r>
      <w:r w:rsidR="00FB78CB" w:rsidRPr="008E3362">
        <w:rPr>
          <w:rFonts w:asciiTheme="majorHAnsi" w:hAnsiTheme="majorHAnsi"/>
          <w:b/>
        </w:rPr>
        <w:t xml:space="preserve">; </w:t>
      </w:r>
      <w:hyperlink r:id="rId13" w:history="1">
        <w:r w:rsidRPr="008E3362">
          <w:rPr>
            <w:rStyle w:val="Hyperlink"/>
            <w:rFonts w:asciiTheme="majorHAnsi" w:hAnsiTheme="majorHAnsi"/>
            <w:b/>
          </w:rPr>
          <w:t>Cecil Nick</w:t>
        </w:r>
      </w:hyperlink>
      <w:r w:rsidR="00FB78CB" w:rsidRPr="008E3362">
        <w:rPr>
          <w:rFonts w:asciiTheme="majorHAnsi" w:hAnsiTheme="majorHAnsi"/>
          <w:b/>
        </w:rPr>
        <w:t xml:space="preserve">, </w:t>
      </w:r>
      <w:r w:rsidRPr="008E3362">
        <w:rPr>
          <w:rFonts w:asciiTheme="majorHAnsi" w:hAnsiTheme="majorHAnsi"/>
        </w:rPr>
        <w:t>PAREXEL International, UK</w:t>
      </w:r>
      <w:r w:rsidR="00FB78CB" w:rsidRPr="008E3362">
        <w:rPr>
          <w:rFonts w:asciiTheme="majorHAnsi" w:hAnsiTheme="majorHAnsi"/>
          <w:b/>
        </w:rPr>
        <w:t xml:space="preserve">; </w:t>
      </w:r>
      <w:hyperlink r:id="rId14" w:history="1">
        <w:r w:rsidRPr="008E3362">
          <w:rPr>
            <w:rStyle w:val="Hyperlink"/>
            <w:rFonts w:asciiTheme="majorHAnsi" w:hAnsiTheme="majorHAnsi"/>
            <w:b/>
          </w:rPr>
          <w:t xml:space="preserve">David </w:t>
        </w:r>
        <w:proofErr w:type="spellStart"/>
        <w:r w:rsidRPr="008E3362">
          <w:rPr>
            <w:rStyle w:val="Hyperlink"/>
            <w:rFonts w:asciiTheme="majorHAnsi" w:hAnsiTheme="majorHAnsi"/>
            <w:b/>
          </w:rPr>
          <w:t>Ebsworth</w:t>
        </w:r>
        <w:proofErr w:type="spellEnd"/>
      </w:hyperlink>
      <w:r w:rsidRPr="008E3362">
        <w:rPr>
          <w:rFonts w:asciiTheme="majorHAnsi" w:hAnsiTheme="majorHAnsi"/>
          <w:b/>
        </w:rPr>
        <w:t>,</w:t>
      </w:r>
    </w:p>
    <w:p w:rsidR="00656980" w:rsidRPr="008E3362" w:rsidRDefault="00100C20" w:rsidP="00A44A8D">
      <w:pPr>
        <w:pStyle w:val="NormalWeb"/>
        <w:shd w:val="clear" w:color="auto" w:fill="FFFFFF"/>
        <w:spacing w:after="0"/>
        <w:jc w:val="both"/>
        <w:rPr>
          <w:rFonts w:asciiTheme="majorHAnsi" w:hAnsiTheme="majorHAnsi"/>
        </w:rPr>
      </w:pPr>
      <w:proofErr w:type="spellStart"/>
      <w:r w:rsidRPr="008E3362">
        <w:rPr>
          <w:rFonts w:asciiTheme="majorHAnsi" w:hAnsiTheme="majorHAnsi"/>
        </w:rPr>
        <w:t>Vifor</w:t>
      </w:r>
      <w:proofErr w:type="spellEnd"/>
      <w:r w:rsidRPr="008E3362">
        <w:rPr>
          <w:rFonts w:asciiTheme="majorHAnsi" w:hAnsiTheme="majorHAnsi"/>
        </w:rPr>
        <w:t xml:space="preserve"> </w:t>
      </w:r>
      <w:proofErr w:type="spellStart"/>
      <w:r w:rsidRPr="008E3362">
        <w:rPr>
          <w:rFonts w:asciiTheme="majorHAnsi" w:hAnsiTheme="majorHAnsi"/>
        </w:rPr>
        <w:t>Pharma</w:t>
      </w:r>
      <w:proofErr w:type="spellEnd"/>
      <w:r w:rsidRPr="008E3362">
        <w:rPr>
          <w:rFonts w:asciiTheme="majorHAnsi" w:hAnsiTheme="majorHAnsi"/>
        </w:rPr>
        <w:t xml:space="preserve"> Ltd, Switzerland</w:t>
      </w:r>
      <w:r w:rsidRPr="008E3362">
        <w:rPr>
          <w:rFonts w:asciiTheme="majorHAnsi" w:hAnsiTheme="majorHAnsi"/>
          <w:b/>
        </w:rPr>
        <w:t>;</w:t>
      </w:r>
      <w:r w:rsidRPr="008E3362">
        <w:rPr>
          <w:rFonts w:asciiTheme="majorHAnsi" w:hAnsiTheme="majorHAnsi"/>
        </w:rPr>
        <w:t xml:space="preserve"> </w:t>
      </w:r>
      <w:hyperlink r:id="rId15" w:history="1">
        <w:proofErr w:type="spellStart"/>
        <w:r w:rsidRPr="008E3362">
          <w:rPr>
            <w:rStyle w:val="Hyperlink"/>
            <w:rFonts w:asciiTheme="majorHAnsi" w:hAnsiTheme="majorHAnsi"/>
            <w:b/>
          </w:rPr>
          <w:t>Parastoo</w:t>
        </w:r>
        <w:proofErr w:type="spellEnd"/>
        <w:r w:rsidRPr="008E3362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Pr="008E3362">
          <w:rPr>
            <w:rStyle w:val="Hyperlink"/>
            <w:rFonts w:asciiTheme="majorHAnsi" w:hAnsiTheme="majorHAnsi"/>
            <w:b/>
          </w:rPr>
          <w:t>Azadi</w:t>
        </w:r>
        <w:proofErr w:type="spellEnd"/>
      </w:hyperlink>
      <w:r w:rsidRPr="008E3362">
        <w:rPr>
          <w:rFonts w:asciiTheme="majorHAnsi" w:hAnsiTheme="majorHAnsi"/>
          <w:b/>
        </w:rPr>
        <w:t xml:space="preserve">, </w:t>
      </w:r>
      <w:r w:rsidRPr="008E3362">
        <w:rPr>
          <w:rFonts w:asciiTheme="majorHAnsi" w:hAnsiTheme="majorHAnsi"/>
        </w:rPr>
        <w:t xml:space="preserve">Complex </w:t>
      </w:r>
      <w:proofErr w:type="spellStart"/>
      <w:r w:rsidRPr="008E3362">
        <w:rPr>
          <w:rFonts w:asciiTheme="majorHAnsi" w:hAnsiTheme="majorHAnsi"/>
        </w:rPr>
        <w:t>Carbohydrtae</w:t>
      </w:r>
      <w:proofErr w:type="spellEnd"/>
      <w:r w:rsidRPr="008E3362">
        <w:rPr>
          <w:rFonts w:asciiTheme="majorHAnsi" w:hAnsiTheme="majorHAnsi"/>
        </w:rPr>
        <w:t xml:space="preserve"> Research Center - University of Georgia, USA</w:t>
      </w:r>
      <w:r w:rsidRPr="008E3362">
        <w:rPr>
          <w:rFonts w:asciiTheme="majorHAnsi" w:hAnsiTheme="majorHAnsi"/>
          <w:b/>
        </w:rPr>
        <w:t xml:space="preserve"> </w:t>
      </w:r>
      <w:hyperlink r:id="rId16" w:history="1">
        <w:r w:rsidR="00FB78CB" w:rsidRPr="008E3362">
          <w:rPr>
            <w:rStyle w:val="Hyperlink"/>
            <w:rFonts w:asciiTheme="majorHAnsi" w:hAnsiTheme="majorHAnsi"/>
            <w:b/>
          </w:rPr>
          <w:t>Fiona M Greer</w:t>
        </w:r>
      </w:hyperlink>
      <w:r w:rsidR="00FB78CB" w:rsidRPr="008E3362">
        <w:rPr>
          <w:rFonts w:asciiTheme="majorHAnsi" w:hAnsiTheme="majorHAnsi"/>
        </w:rPr>
        <w:t>, SGS Life Sciences, Switzerland</w:t>
      </w:r>
      <w:r w:rsidR="00656980" w:rsidRPr="008E3362">
        <w:rPr>
          <w:rFonts w:asciiTheme="majorHAnsi" w:hAnsiTheme="majorHAnsi"/>
        </w:rPr>
        <w:t xml:space="preserve">; </w:t>
      </w:r>
      <w:hyperlink r:id="rId17" w:history="1">
        <w:proofErr w:type="spellStart"/>
        <w:r w:rsidR="00FB78CB" w:rsidRPr="008E3362">
          <w:rPr>
            <w:rStyle w:val="Hyperlink"/>
            <w:rFonts w:asciiTheme="majorHAnsi" w:hAnsiTheme="majorHAnsi"/>
            <w:b/>
          </w:rPr>
          <w:t>András</w:t>
        </w:r>
        <w:proofErr w:type="spellEnd"/>
        <w:r w:rsidR="00FB78CB" w:rsidRPr="008E3362">
          <w:rPr>
            <w:rStyle w:val="Hyperlink"/>
            <w:rFonts w:asciiTheme="majorHAnsi" w:hAnsiTheme="majorHAnsi"/>
            <w:b/>
          </w:rPr>
          <w:t xml:space="preserve"> Guttman</w:t>
        </w:r>
      </w:hyperlink>
      <w:r w:rsidR="00FB78CB" w:rsidRPr="008E3362">
        <w:rPr>
          <w:rFonts w:asciiTheme="majorHAnsi" w:hAnsiTheme="majorHAnsi"/>
          <w:b/>
        </w:rPr>
        <w:t xml:space="preserve">, </w:t>
      </w:r>
      <w:r w:rsidRPr="008E3362">
        <w:rPr>
          <w:rFonts w:asciiTheme="majorHAnsi" w:hAnsiTheme="majorHAnsi"/>
        </w:rPr>
        <w:t>SCIEX, USA</w:t>
      </w:r>
      <w:r w:rsidR="00656980" w:rsidRPr="008E3362">
        <w:rPr>
          <w:rFonts w:asciiTheme="majorHAnsi" w:hAnsiTheme="majorHAnsi"/>
        </w:rPr>
        <w:t xml:space="preserve">; </w:t>
      </w:r>
      <w:hyperlink r:id="rId18" w:history="1">
        <w:r w:rsidRPr="008E3362">
          <w:rPr>
            <w:rStyle w:val="Hyperlink"/>
            <w:rFonts w:asciiTheme="majorHAnsi" w:hAnsiTheme="majorHAnsi"/>
            <w:b/>
          </w:rPr>
          <w:t>Dominic Seitz</w:t>
        </w:r>
      </w:hyperlink>
      <w:r w:rsidRPr="008E3362">
        <w:rPr>
          <w:rFonts w:asciiTheme="majorHAnsi" w:hAnsiTheme="majorHAnsi"/>
        </w:rPr>
        <w:t xml:space="preserve">, </w:t>
      </w:r>
      <w:r w:rsidRPr="008E3362">
        <w:rPr>
          <w:rFonts w:asciiTheme="majorHAnsi" w:hAnsiTheme="majorHAnsi"/>
        </w:rPr>
        <w:t>Simon-</w:t>
      </w:r>
      <w:proofErr w:type="spellStart"/>
      <w:r w:rsidRPr="008E3362">
        <w:rPr>
          <w:rFonts w:asciiTheme="majorHAnsi" w:hAnsiTheme="majorHAnsi"/>
        </w:rPr>
        <w:t>Kucher</w:t>
      </w:r>
      <w:proofErr w:type="spellEnd"/>
      <w:r w:rsidRPr="008E3362">
        <w:rPr>
          <w:rFonts w:asciiTheme="majorHAnsi" w:hAnsiTheme="majorHAnsi"/>
        </w:rPr>
        <w:t xml:space="preserve"> &amp; Partners, Germany</w:t>
      </w:r>
      <w:r w:rsidRPr="008E3362">
        <w:rPr>
          <w:rFonts w:asciiTheme="majorHAnsi" w:hAnsiTheme="majorHAnsi"/>
        </w:rPr>
        <w:t xml:space="preserve">; </w:t>
      </w:r>
      <w:hyperlink r:id="rId19" w:history="1">
        <w:r w:rsidR="00FB78CB" w:rsidRPr="008E3362">
          <w:rPr>
            <w:rStyle w:val="Hyperlink"/>
            <w:rFonts w:asciiTheme="majorHAnsi" w:hAnsiTheme="majorHAnsi"/>
            <w:b/>
          </w:rPr>
          <w:t xml:space="preserve">Rosa Helena </w:t>
        </w:r>
        <w:proofErr w:type="spellStart"/>
        <w:r w:rsidR="00FB78CB" w:rsidRPr="008E3362">
          <w:rPr>
            <w:rStyle w:val="Hyperlink"/>
            <w:rFonts w:asciiTheme="majorHAnsi" w:hAnsiTheme="majorHAnsi"/>
            <w:b/>
          </w:rPr>
          <w:t>Bustos</w:t>
        </w:r>
        <w:proofErr w:type="spellEnd"/>
      </w:hyperlink>
      <w:r w:rsidR="00FB78CB" w:rsidRPr="008E3362">
        <w:rPr>
          <w:rFonts w:asciiTheme="majorHAnsi" w:hAnsiTheme="majorHAnsi"/>
          <w:b/>
        </w:rPr>
        <w:t xml:space="preserve">, </w:t>
      </w:r>
      <w:r w:rsidR="00FB78CB" w:rsidRPr="008E3362">
        <w:rPr>
          <w:rFonts w:asciiTheme="majorHAnsi" w:hAnsiTheme="majorHAnsi"/>
        </w:rPr>
        <w:t xml:space="preserve">University of La </w:t>
      </w:r>
      <w:proofErr w:type="spellStart"/>
      <w:r w:rsidR="00FB78CB" w:rsidRPr="008E3362">
        <w:rPr>
          <w:rFonts w:asciiTheme="majorHAnsi" w:hAnsiTheme="majorHAnsi"/>
        </w:rPr>
        <w:t>Sabana</w:t>
      </w:r>
      <w:proofErr w:type="spellEnd"/>
      <w:r w:rsidR="00FB78CB" w:rsidRPr="008E3362">
        <w:rPr>
          <w:rFonts w:asciiTheme="majorHAnsi" w:hAnsiTheme="majorHAnsi"/>
        </w:rPr>
        <w:t>, Colombia</w:t>
      </w:r>
      <w:r w:rsidR="00656980" w:rsidRPr="008E3362">
        <w:rPr>
          <w:rFonts w:asciiTheme="majorHAnsi" w:hAnsiTheme="majorHAnsi"/>
        </w:rPr>
        <w:t xml:space="preserve">; </w:t>
      </w:r>
      <w:hyperlink r:id="rId20" w:history="1">
        <w:r w:rsidRPr="008E3362">
          <w:rPr>
            <w:rStyle w:val="Hyperlink"/>
            <w:rFonts w:asciiTheme="majorHAnsi" w:hAnsiTheme="majorHAnsi"/>
            <w:b/>
          </w:rPr>
          <w:t xml:space="preserve">Sakae </w:t>
        </w:r>
        <w:proofErr w:type="spellStart"/>
        <w:r w:rsidRPr="008E3362">
          <w:rPr>
            <w:rStyle w:val="Hyperlink"/>
            <w:rFonts w:asciiTheme="majorHAnsi" w:hAnsiTheme="majorHAnsi"/>
            <w:b/>
          </w:rPr>
          <w:t>Tsuda</w:t>
        </w:r>
        <w:proofErr w:type="spellEnd"/>
      </w:hyperlink>
      <w:r w:rsidRPr="008E3362">
        <w:rPr>
          <w:rFonts w:asciiTheme="majorHAnsi" w:hAnsiTheme="majorHAnsi"/>
        </w:rPr>
        <w:t xml:space="preserve">, </w:t>
      </w:r>
      <w:r w:rsidRPr="008E3362">
        <w:rPr>
          <w:rFonts w:asciiTheme="majorHAnsi" w:hAnsiTheme="majorHAnsi"/>
        </w:rPr>
        <w:t>National Institute of Advanced Industrial Science and Technology, Japan</w:t>
      </w:r>
      <w:r w:rsidRPr="008E3362">
        <w:rPr>
          <w:rFonts w:asciiTheme="majorHAnsi" w:hAnsiTheme="majorHAnsi"/>
        </w:rPr>
        <w:t xml:space="preserve">; </w:t>
      </w:r>
      <w:hyperlink r:id="rId21" w:history="1">
        <w:r w:rsidR="008E3362" w:rsidRPr="008E3362">
          <w:rPr>
            <w:rStyle w:val="Hyperlink"/>
            <w:rFonts w:asciiTheme="majorHAnsi" w:hAnsiTheme="majorHAnsi"/>
            <w:b/>
          </w:rPr>
          <w:t xml:space="preserve">Menachem </w:t>
        </w:r>
        <w:proofErr w:type="spellStart"/>
        <w:r w:rsidR="008E3362" w:rsidRPr="008E3362">
          <w:rPr>
            <w:rStyle w:val="Hyperlink"/>
            <w:rFonts w:asciiTheme="majorHAnsi" w:hAnsiTheme="majorHAnsi"/>
            <w:b/>
          </w:rPr>
          <w:t>Zucker</w:t>
        </w:r>
        <w:proofErr w:type="spellEnd"/>
      </w:hyperlink>
      <w:r w:rsidR="008E3362" w:rsidRPr="008E3362">
        <w:rPr>
          <w:rFonts w:asciiTheme="majorHAnsi" w:hAnsiTheme="majorHAnsi"/>
          <w:b/>
        </w:rPr>
        <w:t xml:space="preserve">, </w:t>
      </w:r>
      <w:r w:rsidR="008E3362" w:rsidRPr="008E3362">
        <w:rPr>
          <w:rFonts w:asciiTheme="majorHAnsi" w:hAnsiTheme="majorHAnsi"/>
        </w:rPr>
        <w:t xml:space="preserve">E3D </w:t>
      </w:r>
      <w:proofErr w:type="spellStart"/>
      <w:r w:rsidR="008E3362" w:rsidRPr="008E3362">
        <w:rPr>
          <w:rFonts w:asciiTheme="majorHAnsi" w:hAnsiTheme="majorHAnsi"/>
        </w:rPr>
        <w:t>Elcam</w:t>
      </w:r>
      <w:proofErr w:type="spellEnd"/>
      <w:r w:rsidR="008E3362" w:rsidRPr="008E3362">
        <w:rPr>
          <w:rFonts w:asciiTheme="majorHAnsi" w:hAnsiTheme="majorHAnsi"/>
        </w:rPr>
        <w:t xml:space="preserve"> Drug Delivery Devices, Israel</w:t>
      </w:r>
      <w:r w:rsidR="008E3362" w:rsidRPr="008E3362">
        <w:rPr>
          <w:rFonts w:asciiTheme="majorHAnsi" w:hAnsiTheme="majorHAnsi"/>
        </w:rPr>
        <w:t xml:space="preserve">; </w:t>
      </w:r>
      <w:hyperlink r:id="rId22" w:history="1">
        <w:r w:rsidR="008E3362" w:rsidRPr="008E3362">
          <w:rPr>
            <w:rStyle w:val="Hyperlink"/>
            <w:rFonts w:asciiTheme="majorHAnsi" w:hAnsiTheme="majorHAnsi"/>
            <w:b/>
          </w:rPr>
          <w:t xml:space="preserve">Victor </w:t>
        </w:r>
        <w:proofErr w:type="spellStart"/>
        <w:r w:rsidR="008E3362" w:rsidRPr="008E3362">
          <w:rPr>
            <w:rStyle w:val="Hyperlink"/>
            <w:rFonts w:asciiTheme="majorHAnsi" w:hAnsiTheme="majorHAnsi"/>
            <w:b/>
          </w:rPr>
          <w:t>Tsetlin</w:t>
        </w:r>
        <w:proofErr w:type="spellEnd"/>
      </w:hyperlink>
      <w:r w:rsidR="008E3362" w:rsidRPr="008E3362">
        <w:rPr>
          <w:rFonts w:asciiTheme="majorHAnsi" w:hAnsiTheme="majorHAnsi"/>
        </w:rPr>
        <w:t xml:space="preserve">, </w:t>
      </w:r>
      <w:proofErr w:type="spellStart"/>
      <w:r w:rsidR="008E3362" w:rsidRPr="008E3362">
        <w:rPr>
          <w:rFonts w:asciiTheme="majorHAnsi" w:hAnsiTheme="majorHAnsi"/>
        </w:rPr>
        <w:t>Shemyakin</w:t>
      </w:r>
      <w:proofErr w:type="spellEnd"/>
      <w:r w:rsidR="008E3362" w:rsidRPr="008E3362">
        <w:rPr>
          <w:rFonts w:asciiTheme="majorHAnsi" w:hAnsiTheme="majorHAnsi"/>
        </w:rPr>
        <w:t xml:space="preserve"> </w:t>
      </w:r>
      <w:proofErr w:type="spellStart"/>
      <w:r w:rsidR="008E3362" w:rsidRPr="008E3362">
        <w:rPr>
          <w:rFonts w:asciiTheme="majorHAnsi" w:hAnsiTheme="majorHAnsi"/>
        </w:rPr>
        <w:t>Ovchinnikov</w:t>
      </w:r>
      <w:proofErr w:type="spellEnd"/>
      <w:r w:rsidR="008E3362" w:rsidRPr="008E3362">
        <w:rPr>
          <w:rFonts w:asciiTheme="majorHAnsi" w:hAnsiTheme="majorHAnsi"/>
        </w:rPr>
        <w:t xml:space="preserve"> Institute of Bioorganic Chemistry RAS, Russia</w:t>
      </w:r>
      <w:r w:rsidR="008E3362" w:rsidRPr="008E3362">
        <w:rPr>
          <w:rFonts w:asciiTheme="majorHAnsi" w:hAnsiTheme="majorHAnsi"/>
        </w:rPr>
        <w:t xml:space="preserve">; </w:t>
      </w:r>
      <w:hyperlink r:id="rId23" w:history="1">
        <w:r w:rsidR="008E3362" w:rsidRPr="008E3362">
          <w:rPr>
            <w:rStyle w:val="Hyperlink"/>
            <w:rFonts w:asciiTheme="majorHAnsi" w:hAnsiTheme="majorHAnsi"/>
            <w:b/>
          </w:rPr>
          <w:t>Archana Shubhakar</w:t>
        </w:r>
      </w:hyperlink>
      <w:r w:rsidR="008E3362" w:rsidRPr="008E3362">
        <w:rPr>
          <w:rFonts w:asciiTheme="majorHAnsi" w:hAnsiTheme="majorHAnsi"/>
        </w:rPr>
        <w:t xml:space="preserve">, </w:t>
      </w:r>
      <w:proofErr w:type="spellStart"/>
      <w:r w:rsidR="008E3362" w:rsidRPr="008E3362">
        <w:rPr>
          <w:rFonts w:asciiTheme="majorHAnsi" w:hAnsiTheme="majorHAnsi"/>
        </w:rPr>
        <w:t>Ludger</w:t>
      </w:r>
      <w:proofErr w:type="spellEnd"/>
      <w:r w:rsidR="008E3362" w:rsidRPr="008E3362">
        <w:rPr>
          <w:rFonts w:asciiTheme="majorHAnsi" w:hAnsiTheme="majorHAnsi"/>
        </w:rPr>
        <w:t xml:space="preserve"> Ltd, UK</w:t>
      </w:r>
      <w:r w:rsidR="008E3362" w:rsidRPr="008E3362">
        <w:rPr>
          <w:rFonts w:asciiTheme="majorHAnsi" w:hAnsiTheme="majorHAnsi"/>
        </w:rPr>
        <w:t xml:space="preserve">; </w:t>
      </w:r>
      <w:hyperlink r:id="rId24" w:history="1">
        <w:r w:rsidR="008E3362" w:rsidRPr="008E3362">
          <w:rPr>
            <w:rStyle w:val="Hyperlink"/>
            <w:rFonts w:asciiTheme="majorHAnsi" w:hAnsiTheme="majorHAnsi"/>
            <w:b/>
          </w:rPr>
          <w:t>Kurt R Karst</w:t>
        </w:r>
      </w:hyperlink>
      <w:r w:rsidR="008E3362" w:rsidRPr="008E3362">
        <w:rPr>
          <w:rFonts w:asciiTheme="majorHAnsi" w:hAnsiTheme="majorHAnsi"/>
        </w:rPr>
        <w:t xml:space="preserve">, </w:t>
      </w:r>
      <w:r w:rsidR="008E3362" w:rsidRPr="008E3362">
        <w:rPr>
          <w:rFonts w:asciiTheme="majorHAnsi" w:hAnsiTheme="majorHAnsi"/>
        </w:rPr>
        <w:t>Hyman, Phelps &amp; McNamara, PC, USA</w:t>
      </w:r>
    </w:p>
    <w:p w:rsidR="00656980" w:rsidRPr="008E3362" w:rsidRDefault="00656980" w:rsidP="00A44A8D">
      <w:pPr>
        <w:pStyle w:val="NormalWeb"/>
        <w:shd w:val="clear" w:color="auto" w:fill="FFFFFF"/>
        <w:spacing w:after="0"/>
        <w:jc w:val="both"/>
        <w:rPr>
          <w:rFonts w:asciiTheme="majorHAnsi" w:hAnsiTheme="majorHAnsi"/>
        </w:rPr>
      </w:pPr>
    </w:p>
    <w:p w:rsidR="00F525EC" w:rsidRPr="008E3362" w:rsidRDefault="00FB78CB" w:rsidP="00A44A8D">
      <w:pPr>
        <w:pStyle w:val="NormalWeb"/>
        <w:shd w:val="clear" w:color="auto" w:fill="FFFFFF"/>
        <w:spacing w:after="0"/>
        <w:jc w:val="both"/>
        <w:rPr>
          <w:rFonts w:asciiTheme="majorHAnsi" w:hAnsiTheme="majorHAnsi"/>
          <w:color w:val="000000"/>
        </w:rPr>
      </w:pPr>
      <w:r w:rsidRPr="008E3362">
        <w:rPr>
          <w:rFonts w:asciiTheme="majorHAnsi" w:hAnsiTheme="majorHAnsi"/>
          <w:b/>
        </w:rPr>
        <w:t>Euro Biosimilars</w:t>
      </w:r>
      <w:r w:rsidR="008E3362" w:rsidRPr="008E3362">
        <w:rPr>
          <w:rFonts w:asciiTheme="majorHAnsi" w:hAnsiTheme="majorHAnsi"/>
          <w:b/>
        </w:rPr>
        <w:t xml:space="preserve"> 2019</w:t>
      </w:r>
      <w:r w:rsidR="00F525EC" w:rsidRPr="008E3362">
        <w:rPr>
          <w:rFonts w:asciiTheme="majorHAnsi" w:hAnsiTheme="majorHAnsi"/>
          <w:color w:val="000000"/>
        </w:rPr>
        <w:t xml:space="preserve"> </w:t>
      </w:r>
      <w:r w:rsidR="0018016C" w:rsidRPr="008E3362">
        <w:rPr>
          <w:rFonts w:asciiTheme="majorHAnsi" w:hAnsiTheme="majorHAnsi"/>
          <w:color w:val="000000"/>
        </w:rPr>
        <w:t xml:space="preserve">Conference will encourage </w:t>
      </w:r>
      <w:r w:rsidR="00F525EC" w:rsidRPr="008E3362">
        <w:rPr>
          <w:rFonts w:asciiTheme="majorHAnsi" w:hAnsiTheme="majorHAnsi"/>
          <w:color w:val="000000"/>
        </w:rPr>
        <w:t>Young Researcher’s Forum</w:t>
      </w:r>
      <w:r w:rsidR="0018016C" w:rsidRPr="008E3362">
        <w:rPr>
          <w:rFonts w:asciiTheme="majorHAnsi" w:hAnsiTheme="majorHAnsi"/>
          <w:color w:val="000000"/>
        </w:rPr>
        <w:t>,</w:t>
      </w:r>
      <w:r w:rsidR="00F525EC" w:rsidRPr="008E3362">
        <w:rPr>
          <w:rFonts w:asciiTheme="majorHAnsi" w:hAnsiTheme="majorHAnsi"/>
          <w:color w:val="000000"/>
        </w:rPr>
        <w:t xml:space="preserve"> scientists and the researchers in their early stage of career graph to widely discuss their outcome so as to enrich and develop the idea. The ‘</w:t>
      </w:r>
      <w:hyperlink r:id="rId25" w:history="1">
        <w:r w:rsidR="00F525EC" w:rsidRPr="008E3362">
          <w:rPr>
            <w:rStyle w:val="Hyperlink"/>
            <w:rFonts w:asciiTheme="majorHAnsi" w:hAnsiTheme="majorHAnsi"/>
          </w:rPr>
          <w:t>Best Poster Award</w:t>
        </w:r>
      </w:hyperlink>
      <w:r w:rsidR="00F525EC" w:rsidRPr="008E3362">
        <w:rPr>
          <w:rFonts w:asciiTheme="majorHAnsi" w:hAnsiTheme="majorHAnsi"/>
          <w:color w:val="000000"/>
        </w:rPr>
        <w:t>’ is meant to encourage students in taking active part in the International Science platform to sharpen their skills and knowledgebase.</w:t>
      </w:r>
    </w:p>
    <w:p w:rsidR="00F525EC" w:rsidRPr="008E3362" w:rsidRDefault="00F525EC" w:rsidP="00A44A8D">
      <w:pPr>
        <w:spacing w:after="0" w:line="270" w:lineRule="atLeast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4B6CE2" w:rsidRPr="008E3362" w:rsidRDefault="00F525EC" w:rsidP="00A44A8D">
      <w:pPr>
        <w:spacing w:after="0" w:line="270" w:lineRule="atLeast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E3362">
        <w:rPr>
          <w:rFonts w:asciiTheme="majorHAnsi" w:hAnsiTheme="majorHAnsi" w:cs="Times New Roman"/>
          <w:color w:val="000000"/>
          <w:sz w:val="24"/>
          <w:szCs w:val="24"/>
        </w:rPr>
        <w:t xml:space="preserve">The important tracks that are part of </w:t>
      </w:r>
      <w:r w:rsidR="00B176A3" w:rsidRPr="008E3362">
        <w:rPr>
          <w:rFonts w:asciiTheme="majorHAnsi" w:hAnsiTheme="majorHAnsi" w:cs="Times New Roman"/>
          <w:b/>
          <w:color w:val="000000"/>
          <w:sz w:val="24"/>
          <w:szCs w:val="24"/>
        </w:rPr>
        <w:t>Euro Bios</w:t>
      </w:r>
      <w:r w:rsidR="008E3362" w:rsidRPr="008E3362">
        <w:rPr>
          <w:rFonts w:asciiTheme="majorHAnsi" w:hAnsiTheme="majorHAnsi" w:cs="Times New Roman"/>
          <w:b/>
          <w:color w:val="000000"/>
          <w:sz w:val="24"/>
          <w:szCs w:val="24"/>
        </w:rPr>
        <w:t>imilars 2019</w:t>
      </w:r>
      <w:r w:rsidR="00B176A3" w:rsidRPr="008E336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8E3362" w:rsidRPr="008E3362">
        <w:rPr>
          <w:rFonts w:asciiTheme="majorHAnsi" w:hAnsiTheme="majorHAnsi" w:cs="Times New Roman"/>
          <w:color w:val="000000"/>
          <w:sz w:val="24"/>
          <w:szCs w:val="24"/>
        </w:rPr>
        <w:t>include</w:t>
      </w:r>
      <w:r w:rsidR="00F64B06" w:rsidRPr="008E3362">
        <w:rPr>
          <w:rFonts w:asciiTheme="majorHAnsi" w:hAnsiTheme="majorHAnsi" w:cs="Times New Roman"/>
          <w:color w:val="000000"/>
          <w:sz w:val="24"/>
          <w:szCs w:val="24"/>
        </w:rPr>
        <w:t>:</w:t>
      </w:r>
    </w:p>
    <w:p w:rsidR="00F64B06" w:rsidRPr="008E3362" w:rsidRDefault="00F64B06" w:rsidP="00A44A8D">
      <w:pPr>
        <w:spacing w:after="0" w:line="270" w:lineRule="atLeast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4B6CE2" w:rsidRPr="008E3362" w:rsidRDefault="00A44A8D" w:rsidP="00A44A8D">
      <w:pPr>
        <w:spacing w:after="0" w:line="270" w:lineRule="atLeast"/>
        <w:jc w:val="both"/>
        <w:rPr>
          <w:rFonts w:asciiTheme="majorHAnsi" w:hAnsiTheme="majorHAnsi" w:cs="Times New Roman"/>
          <w:sz w:val="24"/>
          <w:szCs w:val="24"/>
        </w:rPr>
      </w:pPr>
      <w:hyperlink r:id="rId26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Current Challenges in Developing Biosimilars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27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Emerging Biosimilars in Therapeutics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28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Analytical Strategies for Biosimilars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29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Regulatory Approach of Biosimilars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0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Biosimilar Companies and Market Analysis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1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Innovative Approach for Biosimilars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2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Clinical Development of Biosimilars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3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Consequences of Brexit on Biosimilars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4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Intellectual Property Rights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5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Globalization of Biosimilars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6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Bioequivalence Assessment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7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Biosimilars Research Pipeline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8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BCS and IVIVC Based Biowaivers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39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Biosimilar Market and Cost Analysis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40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Challenges in Biosimilars Pharmacovigilance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  <w:hyperlink r:id="rId41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Legal Issues and BPCI Act</w:t>
        </w:r>
      </w:hyperlink>
      <w:r w:rsidR="004B6CE2" w:rsidRPr="008E3362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F64B06" w:rsidRPr="008E3362" w:rsidRDefault="00F64B06" w:rsidP="00A44A8D">
      <w:pPr>
        <w:spacing w:after="0" w:line="270" w:lineRule="atLeast"/>
        <w:jc w:val="both"/>
        <w:rPr>
          <w:rFonts w:asciiTheme="majorHAnsi" w:hAnsiTheme="majorHAnsi" w:cs="Times New Roman"/>
          <w:sz w:val="24"/>
          <w:szCs w:val="24"/>
        </w:rPr>
      </w:pPr>
    </w:p>
    <w:p w:rsidR="004B6CE2" w:rsidRPr="008E3362" w:rsidRDefault="008E3362" w:rsidP="00A44A8D">
      <w:pPr>
        <w:spacing w:after="0" w:line="27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E3362">
        <w:rPr>
          <w:rFonts w:asciiTheme="majorHAnsi" w:hAnsiTheme="majorHAnsi" w:cs="Times New Roman"/>
          <w:b/>
          <w:sz w:val="24"/>
          <w:szCs w:val="24"/>
        </w:rPr>
        <w:t>Euro Biosimilars 2019</w:t>
      </w:r>
      <w:r w:rsidR="00632033" w:rsidRPr="008E3362">
        <w:rPr>
          <w:rFonts w:asciiTheme="majorHAnsi" w:hAnsiTheme="majorHAnsi" w:cs="Times New Roman"/>
          <w:sz w:val="24"/>
          <w:szCs w:val="24"/>
        </w:rPr>
        <w:t xml:space="preserve"> is comprised </w:t>
      </w:r>
      <w:r w:rsidRPr="008E3362">
        <w:rPr>
          <w:rFonts w:asciiTheme="majorHAnsi" w:hAnsiTheme="majorHAnsi" w:cs="Times New Roman"/>
          <w:sz w:val="24"/>
          <w:szCs w:val="24"/>
        </w:rPr>
        <w:t>of 22</w:t>
      </w:r>
      <w:r w:rsidR="00A06113" w:rsidRPr="008E3362">
        <w:rPr>
          <w:rFonts w:asciiTheme="majorHAnsi" w:hAnsiTheme="majorHAnsi" w:cs="Times New Roman"/>
          <w:sz w:val="24"/>
          <w:szCs w:val="24"/>
        </w:rPr>
        <w:t xml:space="preserve"> tracks and </w:t>
      </w:r>
      <w:r w:rsidR="00072549" w:rsidRPr="008E3362">
        <w:rPr>
          <w:rFonts w:asciiTheme="majorHAnsi" w:hAnsiTheme="majorHAnsi" w:cs="Times New Roman"/>
          <w:sz w:val="24"/>
          <w:szCs w:val="24"/>
        </w:rPr>
        <w:t>9</w:t>
      </w:r>
      <w:r w:rsidR="00A06113" w:rsidRPr="008E3362">
        <w:rPr>
          <w:rFonts w:asciiTheme="majorHAnsi" w:hAnsiTheme="majorHAnsi" w:cs="Times New Roman"/>
          <w:sz w:val="24"/>
          <w:szCs w:val="24"/>
        </w:rPr>
        <w:t>0</w:t>
      </w:r>
      <w:r w:rsidR="00F525EC" w:rsidRPr="008E3362">
        <w:rPr>
          <w:rFonts w:asciiTheme="majorHAnsi" w:hAnsiTheme="majorHAnsi" w:cs="Times New Roman"/>
          <w:sz w:val="24"/>
          <w:szCs w:val="24"/>
        </w:rPr>
        <w:t xml:space="preserve"> sessions designed to offer comprehensive sessions that address current issue. For more s</w:t>
      </w:r>
      <w:r w:rsidR="00072549" w:rsidRPr="008E3362">
        <w:rPr>
          <w:rFonts w:asciiTheme="majorHAnsi" w:hAnsiTheme="majorHAnsi" w:cs="Times New Roman"/>
          <w:sz w:val="24"/>
          <w:szCs w:val="24"/>
        </w:rPr>
        <w:t xml:space="preserve">cientific sessions </w:t>
      </w:r>
      <w:r w:rsidR="008623B4" w:rsidRPr="008E3362">
        <w:rPr>
          <w:rFonts w:asciiTheme="majorHAnsi" w:hAnsiTheme="majorHAnsi" w:cs="Times New Roman"/>
          <w:sz w:val="24"/>
          <w:szCs w:val="24"/>
        </w:rPr>
        <w:t>and abstract</w:t>
      </w:r>
      <w:r w:rsidR="00D22A75" w:rsidRPr="008E3362">
        <w:rPr>
          <w:rFonts w:asciiTheme="majorHAnsi" w:hAnsiTheme="majorHAnsi" w:cs="Times New Roman"/>
          <w:sz w:val="24"/>
          <w:szCs w:val="24"/>
        </w:rPr>
        <w:t xml:space="preserve"> </w:t>
      </w:r>
      <w:r w:rsidR="008623B4" w:rsidRPr="008E3362">
        <w:rPr>
          <w:rFonts w:asciiTheme="majorHAnsi" w:hAnsiTheme="majorHAnsi" w:cs="Times New Roman"/>
          <w:sz w:val="24"/>
          <w:szCs w:val="24"/>
        </w:rPr>
        <w:t>submission,</w:t>
      </w:r>
      <w:r w:rsidR="00D22A75" w:rsidRPr="008E3362">
        <w:rPr>
          <w:rFonts w:asciiTheme="majorHAnsi" w:hAnsiTheme="majorHAnsi" w:cs="Times New Roman"/>
          <w:sz w:val="24"/>
          <w:szCs w:val="24"/>
        </w:rPr>
        <w:t xml:space="preserve"> please </w:t>
      </w:r>
      <w:r w:rsidR="008623B4" w:rsidRPr="008E3362">
        <w:rPr>
          <w:rFonts w:asciiTheme="majorHAnsi" w:hAnsiTheme="majorHAnsi" w:cs="Times New Roman"/>
          <w:sz w:val="24"/>
          <w:szCs w:val="24"/>
        </w:rPr>
        <w:t>visit: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hyperlink r:id="rId42" w:history="1">
        <w:r>
          <w:rPr>
            <w:rStyle w:val="Hyperlink"/>
            <w:rFonts w:ascii="Cambria" w:hAnsi="Cambria"/>
            <w:sz w:val="24"/>
            <w:szCs w:val="24"/>
          </w:rPr>
          <w:t>https://goo.gl/YYPkyu</w:t>
        </w:r>
      </w:hyperlink>
    </w:p>
    <w:p w:rsidR="004B6CE2" w:rsidRPr="008E3362" w:rsidRDefault="00F525EC" w:rsidP="00A44A8D">
      <w:pPr>
        <w:spacing w:after="0" w:line="270" w:lineRule="atLeast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E3362">
        <w:rPr>
          <w:rFonts w:asciiTheme="majorHAnsi" w:hAnsiTheme="majorHAnsi" w:cs="Times New Roman"/>
          <w:bCs/>
          <w:color w:val="000000"/>
          <w:sz w:val="24"/>
          <w:szCs w:val="24"/>
        </w:rPr>
        <w:lastRenderedPageBreak/>
        <w:t xml:space="preserve">The Abstracts that are accepted for </w:t>
      </w:r>
      <w:r w:rsidR="00A06113" w:rsidRPr="008E3362">
        <w:rPr>
          <w:rFonts w:asciiTheme="majorHAnsi" w:hAnsiTheme="majorHAnsi" w:cs="Times New Roman"/>
          <w:bCs/>
          <w:color w:val="000000"/>
          <w:sz w:val="24"/>
          <w:szCs w:val="24"/>
        </w:rPr>
        <w:t>presentations are</w:t>
      </w:r>
      <w:r w:rsidRPr="008E336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published in the proceedings of the Journals like</w:t>
      </w:r>
      <w:r w:rsidRPr="008E336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4B6CE2" w:rsidRPr="008E3362">
        <w:rPr>
          <w:rFonts w:asciiTheme="majorHAnsi" w:hAnsiTheme="majorHAnsi" w:cs="Times New Roman"/>
          <w:b/>
          <w:bCs/>
          <w:color w:val="000000"/>
          <w:sz w:val="24"/>
          <w:szCs w:val="24"/>
        </w:rPr>
        <w:t>Journal of Bioanalysis &amp; Biomedicine</w:t>
      </w:r>
      <w:r w:rsidRPr="008E336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, </w:t>
      </w:r>
      <w:r w:rsidR="004B6CE2" w:rsidRPr="008E3362">
        <w:rPr>
          <w:rFonts w:asciiTheme="majorHAnsi" w:hAnsiTheme="majorHAnsi" w:cs="Times New Roman"/>
          <w:b/>
          <w:bCs/>
          <w:color w:val="000000"/>
          <w:sz w:val="24"/>
          <w:szCs w:val="24"/>
        </w:rPr>
        <w:t>Journal of Bioequivalence &amp; Bioavailability</w:t>
      </w:r>
    </w:p>
    <w:p w:rsidR="004B6CE2" w:rsidRPr="008E3362" w:rsidRDefault="004B6CE2" w:rsidP="00A44A8D">
      <w:pPr>
        <w:spacing w:after="0" w:line="270" w:lineRule="atLeast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072549" w:rsidRPr="008E3362" w:rsidRDefault="00F525EC" w:rsidP="00A44A8D">
      <w:pPr>
        <w:spacing w:after="0" w:line="270" w:lineRule="atLeast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8E336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Grab the opportunity to participate by registering through flowing link: </w:t>
      </w:r>
    </w:p>
    <w:p w:rsidR="00C36742" w:rsidRPr="008E3362" w:rsidRDefault="00A44A8D" w:rsidP="00A44A8D">
      <w:pPr>
        <w:spacing w:after="0" w:line="270" w:lineRule="atLeast"/>
        <w:jc w:val="both"/>
        <w:rPr>
          <w:rFonts w:asciiTheme="majorHAnsi" w:hAnsiTheme="majorHAnsi" w:cs="Times New Roman"/>
          <w:sz w:val="24"/>
          <w:szCs w:val="24"/>
        </w:rPr>
      </w:pPr>
      <w:hyperlink r:id="rId43" w:history="1">
        <w:r w:rsidR="004B6CE2" w:rsidRPr="008E3362">
          <w:rPr>
            <w:rStyle w:val="Hyperlink"/>
            <w:rFonts w:asciiTheme="majorHAnsi" w:hAnsiTheme="majorHAnsi" w:cs="Times New Roman"/>
            <w:sz w:val="24"/>
            <w:szCs w:val="24"/>
          </w:rPr>
          <w:t>http://biosimilars-biologics.pharmaceuticalconferences.com/europe/registration.php</w:t>
        </w:r>
      </w:hyperlink>
    </w:p>
    <w:p w:rsidR="004B6CE2" w:rsidRPr="008E3362" w:rsidRDefault="004B6CE2" w:rsidP="00A44A8D">
      <w:pPr>
        <w:spacing w:after="0" w:line="270" w:lineRule="atLeast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F525EC" w:rsidRPr="008E3362" w:rsidRDefault="00F525EC" w:rsidP="00A44A8D">
      <w:pPr>
        <w:jc w:val="both"/>
        <w:rPr>
          <w:rFonts w:asciiTheme="majorHAnsi" w:hAnsiTheme="majorHAnsi" w:cs="Times New Roman"/>
          <w:sz w:val="24"/>
          <w:szCs w:val="24"/>
        </w:rPr>
      </w:pPr>
      <w:r w:rsidRPr="008E3362">
        <w:rPr>
          <w:rFonts w:asciiTheme="majorHAnsi" w:hAnsiTheme="majorHAnsi" w:cs="Times New Roman"/>
          <w:sz w:val="24"/>
          <w:szCs w:val="24"/>
        </w:rPr>
        <w:t>For further details, please contact:</w:t>
      </w:r>
    </w:p>
    <w:p w:rsidR="008E3362" w:rsidRPr="008E3362" w:rsidRDefault="008E3362" w:rsidP="00A44A8D">
      <w:pPr>
        <w:pStyle w:val="PlainText"/>
        <w:jc w:val="both"/>
        <w:rPr>
          <w:rFonts w:asciiTheme="majorHAnsi" w:hAnsiTheme="majorHAnsi"/>
          <w:sz w:val="24"/>
          <w:szCs w:val="24"/>
        </w:rPr>
      </w:pPr>
      <w:r w:rsidRPr="008E3362">
        <w:rPr>
          <w:rFonts w:asciiTheme="majorHAnsi" w:hAnsiTheme="majorHAnsi"/>
          <w:sz w:val="24"/>
          <w:szCs w:val="24"/>
        </w:rPr>
        <w:t>Thanks &amp; Regards</w:t>
      </w:r>
    </w:p>
    <w:p w:rsidR="008E3362" w:rsidRPr="008E3362" w:rsidRDefault="008E3362" w:rsidP="00A44A8D">
      <w:pPr>
        <w:pStyle w:val="PlainText"/>
        <w:jc w:val="both"/>
        <w:rPr>
          <w:rFonts w:asciiTheme="majorHAnsi" w:hAnsiTheme="majorHAnsi"/>
          <w:sz w:val="24"/>
          <w:szCs w:val="24"/>
        </w:rPr>
      </w:pPr>
      <w:r w:rsidRPr="008E3362">
        <w:rPr>
          <w:rFonts w:asciiTheme="majorHAnsi" w:hAnsiTheme="majorHAnsi"/>
          <w:sz w:val="24"/>
          <w:szCs w:val="24"/>
        </w:rPr>
        <w:t xml:space="preserve">John Hill </w:t>
      </w:r>
    </w:p>
    <w:p w:rsidR="008E3362" w:rsidRPr="008E3362" w:rsidRDefault="008E3362" w:rsidP="00A44A8D">
      <w:pPr>
        <w:pStyle w:val="PlainText"/>
        <w:jc w:val="both"/>
        <w:rPr>
          <w:rFonts w:asciiTheme="majorHAnsi" w:hAnsiTheme="majorHAnsi"/>
          <w:sz w:val="24"/>
          <w:szCs w:val="24"/>
        </w:rPr>
      </w:pPr>
      <w:r w:rsidRPr="008E3362">
        <w:rPr>
          <w:rFonts w:asciiTheme="majorHAnsi" w:hAnsiTheme="majorHAnsi"/>
          <w:sz w:val="24"/>
          <w:szCs w:val="24"/>
        </w:rPr>
        <w:t>Program Manager | Euro Biosimilars 2018</w:t>
      </w:r>
    </w:p>
    <w:p w:rsidR="008E3362" w:rsidRPr="008E3362" w:rsidRDefault="008E3362" w:rsidP="00A44A8D">
      <w:pPr>
        <w:pStyle w:val="PlainText"/>
        <w:jc w:val="both"/>
        <w:rPr>
          <w:rFonts w:asciiTheme="majorHAnsi" w:hAnsiTheme="majorHAnsi"/>
          <w:sz w:val="24"/>
          <w:szCs w:val="24"/>
        </w:rPr>
      </w:pPr>
      <w:r w:rsidRPr="008E3362">
        <w:rPr>
          <w:rFonts w:asciiTheme="majorHAnsi" w:hAnsiTheme="majorHAnsi"/>
          <w:sz w:val="24"/>
          <w:szCs w:val="24"/>
        </w:rPr>
        <w:t xml:space="preserve">47 </w:t>
      </w:r>
      <w:proofErr w:type="spellStart"/>
      <w:r w:rsidRPr="008E3362">
        <w:rPr>
          <w:rFonts w:asciiTheme="majorHAnsi" w:hAnsiTheme="majorHAnsi"/>
          <w:sz w:val="24"/>
          <w:szCs w:val="24"/>
        </w:rPr>
        <w:t>Churchfield</w:t>
      </w:r>
      <w:proofErr w:type="spellEnd"/>
      <w:r w:rsidRPr="008E3362">
        <w:rPr>
          <w:rFonts w:asciiTheme="majorHAnsi" w:hAnsiTheme="majorHAnsi"/>
          <w:sz w:val="24"/>
          <w:szCs w:val="24"/>
        </w:rPr>
        <w:t xml:space="preserve"> Road, London, W3 6AY</w:t>
      </w:r>
    </w:p>
    <w:p w:rsidR="008E3362" w:rsidRPr="008E3362" w:rsidRDefault="008E3362" w:rsidP="00A44A8D">
      <w:pPr>
        <w:pStyle w:val="PlainText"/>
        <w:jc w:val="both"/>
        <w:rPr>
          <w:rFonts w:asciiTheme="majorHAnsi" w:hAnsiTheme="majorHAnsi"/>
          <w:sz w:val="24"/>
          <w:szCs w:val="24"/>
        </w:rPr>
      </w:pPr>
      <w:r w:rsidRPr="008E3362">
        <w:rPr>
          <w:rFonts w:asciiTheme="majorHAnsi" w:hAnsiTheme="majorHAnsi"/>
          <w:sz w:val="24"/>
          <w:szCs w:val="24"/>
        </w:rPr>
        <w:t xml:space="preserve">Toll Free: +1-800-014-8923 </w:t>
      </w:r>
    </w:p>
    <w:p w:rsidR="001037FA" w:rsidRDefault="008E3362" w:rsidP="00A44A8D">
      <w:pPr>
        <w:pStyle w:val="PlainText"/>
        <w:jc w:val="both"/>
        <w:rPr>
          <w:rFonts w:asciiTheme="majorHAnsi" w:hAnsiTheme="majorHAnsi"/>
          <w:sz w:val="24"/>
          <w:szCs w:val="24"/>
        </w:rPr>
      </w:pPr>
      <w:hyperlink r:id="rId44" w:history="1">
        <w:r w:rsidRPr="007301A5">
          <w:rPr>
            <w:rStyle w:val="Hyperlink"/>
            <w:rFonts w:asciiTheme="majorHAnsi" w:hAnsiTheme="majorHAnsi"/>
            <w:sz w:val="24"/>
            <w:szCs w:val="24"/>
          </w:rPr>
          <w:t>eurobiosimilars@conferenceseries.net</w:t>
        </w:r>
      </w:hyperlink>
    </w:p>
    <w:p w:rsidR="008E3362" w:rsidRPr="008E3362" w:rsidRDefault="008E3362" w:rsidP="00A44A8D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sectPr w:rsidR="008E3362" w:rsidRPr="008E3362" w:rsidSect="00E34D67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C"/>
    <w:rsid w:val="000260D4"/>
    <w:rsid w:val="00072549"/>
    <w:rsid w:val="000C038A"/>
    <w:rsid w:val="00100C20"/>
    <w:rsid w:val="001037FA"/>
    <w:rsid w:val="0018016C"/>
    <w:rsid w:val="002E5DC9"/>
    <w:rsid w:val="002F2AF6"/>
    <w:rsid w:val="002F7C1A"/>
    <w:rsid w:val="00363E60"/>
    <w:rsid w:val="0041338F"/>
    <w:rsid w:val="00493273"/>
    <w:rsid w:val="004B6CE2"/>
    <w:rsid w:val="00632033"/>
    <w:rsid w:val="00656980"/>
    <w:rsid w:val="00675B6C"/>
    <w:rsid w:val="0075402E"/>
    <w:rsid w:val="008623B4"/>
    <w:rsid w:val="008D4F4A"/>
    <w:rsid w:val="008E3362"/>
    <w:rsid w:val="00A06113"/>
    <w:rsid w:val="00A42BD8"/>
    <w:rsid w:val="00A44A8D"/>
    <w:rsid w:val="00B176A3"/>
    <w:rsid w:val="00C36742"/>
    <w:rsid w:val="00CF51A6"/>
    <w:rsid w:val="00D22A75"/>
    <w:rsid w:val="00E34D67"/>
    <w:rsid w:val="00ED4822"/>
    <w:rsid w:val="00F525EC"/>
    <w:rsid w:val="00F64B06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25EC"/>
    <w:rPr>
      <w:b/>
      <w:bCs/>
    </w:rPr>
  </w:style>
  <w:style w:type="paragraph" w:styleId="NormalWeb">
    <w:name w:val="Normal (Web)"/>
    <w:basedOn w:val="Normal"/>
    <w:uiPriority w:val="99"/>
    <w:unhideWhenUsed/>
    <w:rsid w:val="00F525E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338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3362"/>
    <w:pPr>
      <w:spacing w:after="0" w:line="240" w:lineRule="auto"/>
    </w:pPr>
    <w:rPr>
      <w:rFonts w:ascii="Calibri" w:eastAsiaTheme="minorHAnsi" w:hAnsi="Calibri" w:cs="Times New Roman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8E336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25EC"/>
    <w:rPr>
      <w:b/>
      <w:bCs/>
    </w:rPr>
  </w:style>
  <w:style w:type="paragraph" w:styleId="NormalWeb">
    <w:name w:val="Normal (Web)"/>
    <w:basedOn w:val="Normal"/>
    <w:uiPriority w:val="99"/>
    <w:unhideWhenUsed/>
    <w:rsid w:val="00F525E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338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3362"/>
    <w:pPr>
      <w:spacing w:after="0" w:line="240" w:lineRule="auto"/>
    </w:pPr>
    <w:rPr>
      <w:rFonts w:ascii="Calibri" w:eastAsiaTheme="minorHAnsi" w:hAnsi="Calibri" w:cs="Times New Roman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8E336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similars-biologics.pharmaceuticalconferences.com/europe/renowned-speakers.php" TargetMode="External"/><Relationship Id="rId18" Type="http://schemas.openxmlformats.org/officeDocument/2006/relationships/hyperlink" Target="https://biosimilars-biologics.pharmaceuticalconferences.com/europe/renowned-speakers.php" TargetMode="External"/><Relationship Id="rId26" Type="http://schemas.openxmlformats.org/officeDocument/2006/relationships/hyperlink" Target="http://biosimilars-biologics.pharmaceuticalconferences.com/europe/events-list/current-challenges-in-developing-biosimilars" TargetMode="External"/><Relationship Id="rId39" Type="http://schemas.openxmlformats.org/officeDocument/2006/relationships/hyperlink" Target="http://biosimilars-biologics.pharmaceuticalconferences.com/europe/events-list/biosimilar-market-and-cost-analysis" TargetMode="External"/><Relationship Id="rId21" Type="http://schemas.openxmlformats.org/officeDocument/2006/relationships/hyperlink" Target="https://biosimilars-biologics.pharmaceuticalconferences.com/europe/renowned-speakers.php" TargetMode="External"/><Relationship Id="rId34" Type="http://schemas.openxmlformats.org/officeDocument/2006/relationships/hyperlink" Target="http://biosimilars-biologics.pharmaceuticalconferences.com/europe/events-list/intellectual-property-rights" TargetMode="External"/><Relationship Id="rId42" Type="http://schemas.openxmlformats.org/officeDocument/2006/relationships/hyperlink" Target="https://goo.gl/YYPkyu" TargetMode="External"/><Relationship Id="rId7" Type="http://schemas.openxmlformats.org/officeDocument/2006/relationships/hyperlink" Target="http://biosimilars-biologics.pharmaceuticalconferences.com/europe/conference-brochur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similars-biologics.pharmaceuticalconferences.com/europe/renowned-speakers.php" TargetMode="External"/><Relationship Id="rId29" Type="http://schemas.openxmlformats.org/officeDocument/2006/relationships/hyperlink" Target="http://biosimilars-biologics.pharmaceuticalconferences.com/europe/events-list/regulatory-approach-of-biosimila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osimilars-biologics.pharmaceuticalconferences.com/europe/" TargetMode="External"/><Relationship Id="rId11" Type="http://schemas.openxmlformats.org/officeDocument/2006/relationships/hyperlink" Target="http://biosimilars-biologics.pharmaceuticalconferences.com/europe/renowned-speakers.php" TargetMode="External"/><Relationship Id="rId24" Type="http://schemas.openxmlformats.org/officeDocument/2006/relationships/hyperlink" Target="https://biosimilars-biologics.pharmaceuticalconferences.com/europe/renowned-speakers.php" TargetMode="External"/><Relationship Id="rId32" Type="http://schemas.openxmlformats.org/officeDocument/2006/relationships/hyperlink" Target="http://biosimilars-biologics.pharmaceuticalconferences.com/europe/events-list/clinical-development-of-biosimilars" TargetMode="External"/><Relationship Id="rId37" Type="http://schemas.openxmlformats.org/officeDocument/2006/relationships/hyperlink" Target="http://biosimilars-biologics.pharmaceuticalconferences.com/europe/events-list/biosimilars-research-pipeline" TargetMode="External"/><Relationship Id="rId40" Type="http://schemas.openxmlformats.org/officeDocument/2006/relationships/hyperlink" Target="http://biosimilars-biologics.pharmaceuticalconferences.com/europe/events-list/challenges-in-biosimilars-pharmacovigilanc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osimilars-biologics.pharmaceuticalconferences.com/europe/renowned-speakers.php" TargetMode="External"/><Relationship Id="rId23" Type="http://schemas.openxmlformats.org/officeDocument/2006/relationships/hyperlink" Target="https://biosimilars-biologics.pharmaceuticalconferences.com/europe/renowned-speakers.php" TargetMode="External"/><Relationship Id="rId28" Type="http://schemas.openxmlformats.org/officeDocument/2006/relationships/hyperlink" Target="http://biosimilars-biologics.pharmaceuticalconferences.com/europe/events-list/analytical-strategies-for-biosimilars" TargetMode="External"/><Relationship Id="rId36" Type="http://schemas.openxmlformats.org/officeDocument/2006/relationships/hyperlink" Target="http://biosimilars-biologics.pharmaceuticalconferences.com/europe/events-list/bioequivalence-assessment" TargetMode="External"/><Relationship Id="rId10" Type="http://schemas.openxmlformats.org/officeDocument/2006/relationships/hyperlink" Target="http://biosimilars-biologics.pharmaceuticalconferences.com/europe/call-for-abstracts.php" TargetMode="External"/><Relationship Id="rId19" Type="http://schemas.openxmlformats.org/officeDocument/2006/relationships/hyperlink" Target="https://biosimilars-biologics.pharmaceuticalconferences.com/europe/renowned-speakers.php" TargetMode="External"/><Relationship Id="rId31" Type="http://schemas.openxmlformats.org/officeDocument/2006/relationships/hyperlink" Target="http://biosimilars-biologics.pharmaceuticalconferences.com/europe/events-list/innovative-approach-for-biosimilars" TargetMode="External"/><Relationship Id="rId44" Type="http://schemas.openxmlformats.org/officeDocument/2006/relationships/hyperlink" Target="mailto:eurobiosimilars@conferenceserie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similars-biologics.pharmaceuticalconferences.com/europe/call-for-abstracts.php" TargetMode="External"/><Relationship Id="rId14" Type="http://schemas.openxmlformats.org/officeDocument/2006/relationships/hyperlink" Target="https://biosimilars-biologics.pharmaceuticalconferences.com/europe/renowned-speakers.php" TargetMode="External"/><Relationship Id="rId22" Type="http://schemas.openxmlformats.org/officeDocument/2006/relationships/hyperlink" Target="https://biosimilars-biologics.pharmaceuticalconferences.com/europe/renowned-speakers.php" TargetMode="External"/><Relationship Id="rId27" Type="http://schemas.openxmlformats.org/officeDocument/2006/relationships/hyperlink" Target="http://biosimilars-biologics.pharmaceuticalconferences.com/europe/events-list/emerging-biosimilars-in-therapeutics" TargetMode="External"/><Relationship Id="rId30" Type="http://schemas.openxmlformats.org/officeDocument/2006/relationships/hyperlink" Target="http://biosimilars-biologics.pharmaceuticalconferences.com/europe/events-list/biosimilar-companies-and-market-analysis" TargetMode="External"/><Relationship Id="rId35" Type="http://schemas.openxmlformats.org/officeDocument/2006/relationships/hyperlink" Target="http://biosimilars-biologics.pharmaceuticalconferences.com/europe/events-list/globalization-of-biosimilars" TargetMode="External"/><Relationship Id="rId43" Type="http://schemas.openxmlformats.org/officeDocument/2006/relationships/hyperlink" Target="http://biosimilars-biologics.pharmaceuticalconferences.com/europe/registration.php" TargetMode="External"/><Relationship Id="rId8" Type="http://schemas.openxmlformats.org/officeDocument/2006/relationships/hyperlink" Target="http://biosimilars-biologics.pharmaceuticalconferences.com/europe/abstract-submission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iosimilars-biologics.pharmaceuticalconferences.com/europe/renowned-speakers.php" TargetMode="External"/><Relationship Id="rId17" Type="http://schemas.openxmlformats.org/officeDocument/2006/relationships/hyperlink" Target="http://biosimilars-biologics.pharmaceuticalconferences.com/europe/renowned-speakers.php" TargetMode="External"/><Relationship Id="rId25" Type="http://schemas.openxmlformats.org/officeDocument/2006/relationships/hyperlink" Target="http://biosimilars-biologics.pharmaceuticalconferences.com/europe/young-researchers-forum.php" TargetMode="External"/><Relationship Id="rId33" Type="http://schemas.openxmlformats.org/officeDocument/2006/relationships/hyperlink" Target="http://biosimilars-biologics.pharmaceuticalconferences.com/europe/events-list/consequences-of-brexit-on-biosimilars" TargetMode="External"/><Relationship Id="rId38" Type="http://schemas.openxmlformats.org/officeDocument/2006/relationships/hyperlink" Target="http://biosimilars-biologics.pharmaceuticalconferences.com/europe/events-list/bcs-and-ivivc-based-biowaiver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iosimilars-biologics.pharmaceuticalconferences.com/europe/renowned-speakers.php" TargetMode="External"/><Relationship Id="rId41" Type="http://schemas.openxmlformats.org/officeDocument/2006/relationships/hyperlink" Target="http://biosimilars-biologics.pharmaceuticalconferences.com/europe/events-list/legal-issues-and-bpci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8823-A282-4A2F-AAEF-9E12BB3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Research 2017</dc:creator>
  <cp:lastModifiedBy>Pharma Market</cp:lastModifiedBy>
  <cp:revision>3</cp:revision>
  <dcterms:created xsi:type="dcterms:W3CDTF">2018-05-11T08:58:00Z</dcterms:created>
  <dcterms:modified xsi:type="dcterms:W3CDTF">2018-05-11T08:59:00Z</dcterms:modified>
</cp:coreProperties>
</file>